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E733" w14:textId="77777777" w:rsidR="00335F4A" w:rsidRDefault="00576B44">
      <w:pPr>
        <w:spacing w:after="120"/>
        <w:jc w:val="center"/>
      </w:pPr>
      <w:r>
        <w:rPr>
          <w:rFonts w:ascii="Calibri" w:eastAsia="Calibri" w:hAnsi="Calibri" w:cs="Calibri"/>
          <w:b/>
          <w:bCs/>
          <w:sz w:val="36"/>
          <w:szCs w:val="36"/>
        </w:rPr>
        <w:t>Otázky na dizertačnú skúšku</w:t>
      </w:r>
    </w:p>
    <w:p w14:paraId="63AC65B1" w14:textId="77777777" w:rsidR="00335F4A" w:rsidRDefault="00576B44">
      <w:pPr>
        <w:spacing w:after="36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Odbor: Hygiena, epidemiológia, preventívne a sociálne lekárstvo</w:t>
      </w:r>
    </w:p>
    <w:p w14:paraId="67C63328" w14:textId="77777777" w:rsidR="00335F4A" w:rsidRDefault="00576B44">
      <w:pPr>
        <w:pStyle w:val="Nadpis1"/>
      </w:pPr>
      <w:r>
        <w:t>OKRUH 1 – Hygiena a preventívne lekárstvo</w:t>
      </w:r>
    </w:p>
    <w:p w14:paraId="39A56909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Hygiena a preventívne lekárstvo - predmet, ciele, úloha v zdravotníckom systéme. Úrovne prevencie (primárna, sekundárna, terciárna), populačný a vysokorizikový prístup</w:t>
      </w:r>
    </w:p>
    <w:p w14:paraId="19BB6081" w14:textId="60ABD03C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 xml:space="preserve">Hodnotenie zdravotného rizika - zdravotné riziko expozície, vzťah dávka–účinok, limity a hygienické </w:t>
      </w:r>
      <w:r w:rsidR="00816542">
        <w:rPr>
          <w:rFonts w:ascii="Calibri" w:eastAsia="Calibri" w:hAnsi="Calibri" w:cs="Calibri"/>
          <w:sz w:val="24"/>
          <w:szCs w:val="24"/>
        </w:rPr>
        <w:t>normy</w:t>
      </w:r>
    </w:p>
    <w:p w14:paraId="4471ED5C" w14:textId="24799014" w:rsidR="00335F4A" w:rsidRDefault="00816542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Znečistenie ovzdušia, vnútorné prostredie budov, klimatické zmeny a zdravie</w:t>
      </w:r>
    </w:p>
    <w:p w14:paraId="61ABBA9C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Voda a zdravie - pitná voda, vodou prenosné ochorenia, prevencia</w:t>
      </w:r>
    </w:p>
    <w:p w14:paraId="1422EADC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Fyzikálne faktory v životnom prostredí - účinky na organizmus človeka, ochrana zdravia a preventívne opatrenia</w:t>
      </w:r>
    </w:p>
    <w:p w14:paraId="1A98BAE3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Ochrana zdravia pri práci - zdraviu škodlivé faktory pracovného prostredia, práca so zobrazovacími jednotkami</w:t>
      </w:r>
    </w:p>
    <w:p w14:paraId="70465C72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Hygienická problematika zdravotníckych zariadení - rizikové faktory, hygienicko-epidemiologický režim, ochrana zdravia pracovníkov v zdravotníctve</w:t>
      </w:r>
    </w:p>
    <w:p w14:paraId="56557447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Výživa a zdravie - úloha výživy v prevencii chorôb, zásady zdravého stravovania, výživové zvyklosti slovenskej populácie, alternatívne spôsoby výživy</w:t>
      </w:r>
    </w:p>
    <w:p w14:paraId="275AB32B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Bezpečnosť potravín a hygiena stravovania</w:t>
      </w:r>
    </w:p>
    <w:p w14:paraId="1388B630" w14:textId="77777777" w:rsidR="007F59AA" w:rsidRPr="002F7642" w:rsidRDefault="00576B44" w:rsidP="007F59AA">
      <w:pPr>
        <w:pStyle w:val="Odsekzoznamu"/>
        <w:numPr>
          <w:ilvl w:val="0"/>
          <w:numId w:val="2"/>
        </w:numPr>
        <w:spacing w:after="100"/>
      </w:pPr>
      <w:r w:rsidRPr="007F59AA">
        <w:rPr>
          <w:rFonts w:ascii="Calibri" w:eastAsia="Calibri" w:hAnsi="Calibri" w:cs="Calibri"/>
          <w:sz w:val="24"/>
          <w:szCs w:val="24"/>
        </w:rPr>
        <w:t xml:space="preserve">Pohybová aktivita, obezita a osteoporóza. </w:t>
      </w:r>
      <w:r w:rsidRPr="002F7642">
        <w:rPr>
          <w:rFonts w:ascii="Calibri" w:eastAsia="Calibri" w:hAnsi="Calibri" w:cs="Calibri"/>
          <w:sz w:val="24"/>
          <w:szCs w:val="24"/>
        </w:rPr>
        <w:t xml:space="preserve">Prevencia </w:t>
      </w:r>
      <w:r w:rsidR="007F59AA" w:rsidRPr="002F7642">
        <w:rPr>
          <w:rFonts w:ascii="Calibri" w:eastAsia="Calibri" w:hAnsi="Calibri" w:cs="Calibri"/>
          <w:sz w:val="24"/>
          <w:szCs w:val="24"/>
        </w:rPr>
        <w:t xml:space="preserve">chronických </w:t>
      </w:r>
      <w:r w:rsidRPr="002F7642">
        <w:rPr>
          <w:rFonts w:ascii="Calibri" w:eastAsia="Calibri" w:hAnsi="Calibri" w:cs="Calibri"/>
          <w:sz w:val="24"/>
          <w:szCs w:val="24"/>
        </w:rPr>
        <w:t xml:space="preserve">chorôb </w:t>
      </w:r>
    </w:p>
    <w:p w14:paraId="338CD97C" w14:textId="26C5F65B" w:rsidR="00335F4A" w:rsidRDefault="00576B44" w:rsidP="007F59AA">
      <w:pPr>
        <w:pStyle w:val="Odsekzoznamu"/>
        <w:numPr>
          <w:ilvl w:val="0"/>
          <w:numId w:val="2"/>
        </w:numPr>
        <w:spacing w:after="100"/>
      </w:pPr>
      <w:r w:rsidRPr="007F59AA">
        <w:rPr>
          <w:rFonts w:ascii="Calibri" w:eastAsia="Calibri" w:hAnsi="Calibri" w:cs="Calibri"/>
          <w:sz w:val="24"/>
          <w:szCs w:val="24"/>
        </w:rPr>
        <w:t>Životný štýl z hľadiska zdravia a chorôb - fajčenie, alkohol a závislosti, psychická hygiena a duševné zdravie</w:t>
      </w:r>
    </w:p>
    <w:p w14:paraId="3D804336" w14:textId="07A66559" w:rsidR="00335F4A" w:rsidRPr="002F7642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Hygiena detí a mládeže - zákonitosti rastu a vývoja, rizikové faktory telesného a duševného vývoja, hygiena pedagogického procesu a</w:t>
      </w:r>
      <w:r w:rsidR="007F59AA">
        <w:rPr>
          <w:rFonts w:ascii="Calibri" w:eastAsia="Calibri" w:hAnsi="Calibri" w:cs="Calibri"/>
          <w:sz w:val="24"/>
          <w:szCs w:val="24"/>
        </w:rPr>
        <w:t> </w:t>
      </w:r>
      <w:r w:rsidRPr="002F7642">
        <w:rPr>
          <w:rFonts w:ascii="Calibri" w:eastAsia="Calibri" w:hAnsi="Calibri" w:cs="Calibri"/>
          <w:sz w:val="24"/>
          <w:szCs w:val="24"/>
        </w:rPr>
        <w:t>pracujúce</w:t>
      </w:r>
      <w:r w:rsidR="007F59AA" w:rsidRPr="002F7642">
        <w:rPr>
          <w:rFonts w:ascii="Calibri" w:eastAsia="Calibri" w:hAnsi="Calibri" w:cs="Calibri"/>
          <w:sz w:val="24"/>
          <w:szCs w:val="24"/>
        </w:rPr>
        <w:t>j mládeže</w:t>
      </w:r>
    </w:p>
    <w:p w14:paraId="7C9F4E4C" w14:textId="77777777" w:rsidR="00335F4A" w:rsidRDefault="00576B44">
      <w:pPr>
        <w:pStyle w:val="Nadpis1"/>
      </w:pPr>
      <w:r>
        <w:t>OKRUH 2 – Epidemiológia</w:t>
      </w:r>
    </w:p>
    <w:p w14:paraId="068BB818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Epidemiológia - definícia, ciele, využitie pre prevenciu a klinickú medicínu. Diagnostické testy v epidemiológii (senzitivita, špecificita) a skríning</w:t>
      </w:r>
    </w:p>
    <w:p w14:paraId="39221536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Zber a evidencia epidemiologických údajov - registre chorôb, informačné systémy v zdravotníctve, hlásenie chorôb. Surveillance (aktívna, pasívna, sentinelová)</w:t>
      </w:r>
    </w:p>
    <w:p w14:paraId="6B947DB3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Deskriptívna metóda (osoba, miesto, čas). Indikátory zdravia populácie: incidencia, prevalencia, mortalita, letalita, štandardizácia. Globálna záťaž ochorením (GBD study)</w:t>
      </w:r>
    </w:p>
    <w:p w14:paraId="3AA72800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Analytická metóda: kauzalita, ukazovatele rizika (RR, OR), štatistická významnosť - p-hodnota a konfidenčný interval</w:t>
      </w:r>
    </w:p>
    <w:p w14:paraId="39B65819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Typy epidemiologických štúdií. Popis, využitie, príklady, výhody a nevýhody</w:t>
      </w:r>
    </w:p>
    <w:p w14:paraId="235E9797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Experimentálne štúdie, systematický prehľad, metaanalýza, medicína založená na dôkazoch</w:t>
      </w:r>
    </w:p>
    <w:p w14:paraId="7EEA53E5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lastRenderedPageBreak/>
        <w:t>Epidemický proces: charakteristika, podmienky, ovplyvňujúce faktory. Pramene nákazy, mechanizmus prenosu a kategorizácia infekčných chorôb</w:t>
      </w:r>
    </w:p>
    <w:p w14:paraId="7EA16270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Epidemiológia neprenosných ochorení: stredná dĺžka života, úmrtnosť, chorobnosť, rizikové faktory a prevencia, zdroje údajov a národné registre</w:t>
      </w:r>
    </w:p>
    <w:p w14:paraId="104A5242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Terénna epidemiológia - vyšetrovanie ohniska nákazy a epidémií, opatrenia (preventívne a represívne), dekontaminácia (dezinfekcia, sterilizácia)</w:t>
      </w:r>
    </w:p>
    <w:p w14:paraId="0E42734A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Nozokomiálne nákazy - definícia, pôvodcovia, prenos, hlásenie, prevalenčné štúdie, najčastejšie lokalizácie, prevencia</w:t>
      </w:r>
    </w:p>
    <w:p w14:paraId="264D9209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Aktívna a pasívna imunizácia, očkovanie, kolektívna imunita. Druhy očkovania v SR, reakcie po očkovaní, kontraindikácie, očkovanie vybraných skupín populácie</w:t>
      </w:r>
    </w:p>
    <w:p w14:paraId="08E826EF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Kontrola, eliminácia a eradikácia infekčných chorôb</w:t>
      </w:r>
    </w:p>
    <w:p w14:paraId="4D2A5320" w14:textId="77777777" w:rsidR="00335F4A" w:rsidRDefault="00576B44">
      <w:pPr>
        <w:pStyle w:val="Nadpis1"/>
      </w:pPr>
      <w:r>
        <w:t>OKRUH 3 – Sociálne lekárstvo</w:t>
      </w:r>
    </w:p>
    <w:p w14:paraId="6BC3C438" w14:textId="60FDA850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 xml:space="preserve">Sociálne lekárstvo: predmet, ciele, </w:t>
      </w:r>
      <w:r w:rsidR="00816542">
        <w:rPr>
          <w:rFonts w:ascii="Calibri" w:eastAsia="Calibri" w:hAnsi="Calibri" w:cs="Calibri"/>
          <w:sz w:val="24"/>
          <w:szCs w:val="24"/>
        </w:rPr>
        <w:t>úloha v zdravotníckom systéme</w:t>
      </w:r>
      <w:r>
        <w:rPr>
          <w:rFonts w:ascii="Calibri" w:eastAsia="Calibri" w:hAnsi="Calibri" w:cs="Calibri"/>
          <w:sz w:val="24"/>
          <w:szCs w:val="24"/>
        </w:rPr>
        <w:t>. Demografia, natalita, mortalita, starnutie populácie</w:t>
      </w:r>
    </w:p>
    <w:p w14:paraId="504B9121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Koncepcie a modely zdravia, právo na zdravie. Nozológia a klasifikácia chorôb (MKCH)</w:t>
      </w:r>
    </w:p>
    <w:p w14:paraId="7E0B7155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Sociálne determinanty zdravia a nerovnosti v zdraví</w:t>
      </w:r>
    </w:p>
    <w:p w14:paraId="1807BB9F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Zdravotná výchova a výchova k zdravému životnému štýlu - ciele, metódy, zásady a obsah. Poradenské centrá ochrany a podpory zdravia</w:t>
      </w:r>
    </w:p>
    <w:p w14:paraId="7BB59242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Globálne zdravie - základné princípy, ciele a hlavné výzvy</w:t>
      </w:r>
    </w:p>
    <w:p w14:paraId="7FB8E376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Úloha medzinárodných organizácií (WHO, OSN) v globálnom zdraví. Ciele udržateľného rozvoja (SDGs)</w:t>
      </w:r>
    </w:p>
    <w:p w14:paraId="72FB1EE0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Zdravotnícky systém a jeho modely</w:t>
      </w:r>
    </w:p>
    <w:p w14:paraId="26DC5EB4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Riadenie a financovanie zdravotníctva v SR</w:t>
      </w:r>
    </w:p>
    <w:p w14:paraId="6F29E572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Právna regulácia poskytovania zdravotnej starostlivosti na Slovensku</w:t>
      </w:r>
    </w:p>
    <w:p w14:paraId="35544040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Kvalita a bezpečnosť zdravotnej starostlivosti</w:t>
      </w:r>
    </w:p>
    <w:p w14:paraId="7C31980F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Zdravie a zdravotná starostlivosť o osoby so zdravotným a sociálnym znevýhodnením</w:t>
      </w:r>
    </w:p>
    <w:p w14:paraId="15A37C3A" w14:textId="77777777" w:rsidR="00335F4A" w:rsidRDefault="00576B44">
      <w:pPr>
        <w:pStyle w:val="Odsekzoznamu"/>
        <w:numPr>
          <w:ilvl w:val="0"/>
          <w:numId w:val="2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Rodovo podmienené a domáce násilie: úloha zdravotníckych pracovníkov</w:t>
      </w:r>
    </w:p>
    <w:sectPr w:rsidR="00335F4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06A"/>
    <w:multiLevelType w:val="hybridMultilevel"/>
    <w:tmpl w:val="DD9080D0"/>
    <w:lvl w:ilvl="0" w:tplc="0E6494B8">
      <w:start w:val="1"/>
      <w:numFmt w:val="bullet"/>
      <w:lvlText w:val="●"/>
      <w:lvlJc w:val="left"/>
      <w:pPr>
        <w:ind w:left="720" w:hanging="360"/>
      </w:pPr>
    </w:lvl>
    <w:lvl w:ilvl="1" w:tplc="05A841CC">
      <w:start w:val="1"/>
      <w:numFmt w:val="bullet"/>
      <w:lvlText w:val="○"/>
      <w:lvlJc w:val="left"/>
      <w:pPr>
        <w:ind w:left="1440" w:hanging="360"/>
      </w:pPr>
    </w:lvl>
    <w:lvl w:ilvl="2" w:tplc="9B0C9F04">
      <w:start w:val="1"/>
      <w:numFmt w:val="bullet"/>
      <w:lvlText w:val="■"/>
      <w:lvlJc w:val="left"/>
      <w:pPr>
        <w:ind w:left="2160" w:hanging="360"/>
      </w:pPr>
    </w:lvl>
    <w:lvl w:ilvl="3" w:tplc="C2722B8C">
      <w:start w:val="1"/>
      <w:numFmt w:val="bullet"/>
      <w:lvlText w:val="●"/>
      <w:lvlJc w:val="left"/>
      <w:pPr>
        <w:ind w:left="2880" w:hanging="360"/>
      </w:pPr>
    </w:lvl>
    <w:lvl w:ilvl="4" w:tplc="EA24EBD0">
      <w:start w:val="1"/>
      <w:numFmt w:val="bullet"/>
      <w:lvlText w:val="○"/>
      <w:lvlJc w:val="left"/>
      <w:pPr>
        <w:ind w:left="3600" w:hanging="360"/>
      </w:pPr>
    </w:lvl>
    <w:lvl w:ilvl="5" w:tplc="198C7D40">
      <w:start w:val="1"/>
      <w:numFmt w:val="bullet"/>
      <w:lvlText w:val="■"/>
      <w:lvlJc w:val="left"/>
      <w:pPr>
        <w:ind w:left="4320" w:hanging="360"/>
      </w:pPr>
    </w:lvl>
    <w:lvl w:ilvl="6" w:tplc="A72A9C10">
      <w:start w:val="1"/>
      <w:numFmt w:val="bullet"/>
      <w:lvlText w:val="●"/>
      <w:lvlJc w:val="left"/>
      <w:pPr>
        <w:ind w:left="5040" w:hanging="360"/>
      </w:pPr>
    </w:lvl>
    <w:lvl w:ilvl="7" w:tplc="C2DAD372">
      <w:start w:val="1"/>
      <w:numFmt w:val="bullet"/>
      <w:lvlText w:val="●"/>
      <w:lvlJc w:val="left"/>
      <w:pPr>
        <w:ind w:left="5760" w:hanging="360"/>
      </w:pPr>
    </w:lvl>
    <w:lvl w:ilvl="8" w:tplc="5426BF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CB7F67"/>
    <w:multiLevelType w:val="hybridMultilevel"/>
    <w:tmpl w:val="D22C6510"/>
    <w:lvl w:ilvl="0" w:tplc="AC1C435C">
      <w:start w:val="1"/>
      <w:numFmt w:val="decimal"/>
      <w:lvlText w:val="%1."/>
      <w:lvlJc w:val="left"/>
      <w:pPr>
        <w:ind w:left="540" w:hanging="540"/>
      </w:pPr>
    </w:lvl>
    <w:lvl w:ilvl="1" w:tplc="976A3210">
      <w:numFmt w:val="decimal"/>
      <w:lvlText w:val=""/>
      <w:lvlJc w:val="left"/>
    </w:lvl>
    <w:lvl w:ilvl="2" w:tplc="E9A4F148">
      <w:numFmt w:val="decimal"/>
      <w:lvlText w:val=""/>
      <w:lvlJc w:val="left"/>
    </w:lvl>
    <w:lvl w:ilvl="3" w:tplc="192276DA">
      <w:numFmt w:val="decimal"/>
      <w:lvlText w:val=""/>
      <w:lvlJc w:val="left"/>
    </w:lvl>
    <w:lvl w:ilvl="4" w:tplc="F580B218">
      <w:numFmt w:val="decimal"/>
      <w:lvlText w:val=""/>
      <w:lvlJc w:val="left"/>
    </w:lvl>
    <w:lvl w:ilvl="5" w:tplc="B714FC7E">
      <w:numFmt w:val="decimal"/>
      <w:lvlText w:val=""/>
      <w:lvlJc w:val="left"/>
    </w:lvl>
    <w:lvl w:ilvl="6" w:tplc="38FC6786">
      <w:numFmt w:val="decimal"/>
      <w:lvlText w:val=""/>
      <w:lvlJc w:val="left"/>
    </w:lvl>
    <w:lvl w:ilvl="7" w:tplc="045EFE3C">
      <w:numFmt w:val="decimal"/>
      <w:lvlText w:val=""/>
      <w:lvlJc w:val="left"/>
    </w:lvl>
    <w:lvl w:ilvl="8" w:tplc="047C87E8">
      <w:numFmt w:val="decimal"/>
      <w:lvlText w:val=""/>
      <w:lvlJc w:val="left"/>
    </w:lvl>
  </w:abstractNum>
  <w:num w:numId="1" w16cid:durableId="1140347192">
    <w:abstractNumId w:val="0"/>
    <w:lvlOverride w:ilvl="0">
      <w:startOverride w:val="1"/>
    </w:lvlOverride>
  </w:num>
  <w:num w:numId="2" w16cid:durableId="19408690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4A"/>
    <w:rsid w:val="002F7642"/>
    <w:rsid w:val="00335F4A"/>
    <w:rsid w:val="00576B44"/>
    <w:rsid w:val="005D5307"/>
    <w:rsid w:val="006917F3"/>
    <w:rsid w:val="007914BC"/>
    <w:rsid w:val="007F59AA"/>
    <w:rsid w:val="00816542"/>
    <w:rsid w:val="009450D0"/>
    <w:rsid w:val="00C9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30FA"/>
  <w15:docId w15:val="{1A00042E-3D5B-C242-A7CA-6C8E3EB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before="320" w:after="16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3323</Characters>
  <Application>Microsoft Office Word</Application>
  <DocSecurity>4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Šulanová Jana</cp:lastModifiedBy>
  <cp:revision>2</cp:revision>
  <dcterms:created xsi:type="dcterms:W3CDTF">2026-10-16T06:08:00Z</dcterms:created>
  <dcterms:modified xsi:type="dcterms:W3CDTF">2026-10-16T06:08:00Z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1229f8db99c6db2d05ba011dccd8008c8832e899a6d40d6fd543c914e764709a</vt:lpwstr>
  </property>
</Properties>
</file>